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577"/>
        <w:ind w:left="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Отчет о проведенных проверках финансового управления администрации муниципального района «Бай-Тайгинский кожуун Республики Тыва» за 1-е полугодие 2022г.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300"/>
        <w:ind w:left="20" w:right="4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Настоящий отчет подготовлен в соответствии Положением Финансовом управлении администрации муниципального района «Бай-Тайгинский кожуун Республики Тыва».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304"/>
        <w:ind w:left="20" w:right="4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Отчет о деятельности является формой реализации одного из принципов деятельности ревизионной деятельности - принцип гласности.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392" w:line="374" w:lineRule="exact"/>
        <w:ind w:left="20" w:right="4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Общее количество контрольных мероприятий, проведенных за 1-е полугодие 2022 года, всего 4 проверок. Количество объектов, охваченных при проведении мероприятий, составило 6 объекта.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326" w:line="26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сумма выявленных финансовых нарушений: 125436,22 руб.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99" w:line="374" w:lineRule="exact"/>
        <w:ind w:left="20" w:right="4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направленных объектам контроля актов, заключений, представлений и (или) предписаний, всего 6 акта.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890" w:line="350" w:lineRule="exact"/>
        <w:ind w:left="20" w:right="4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Составлен 1 протокол об административном правонарушении по части 1 статьи 15.15.6 Ко АП по факту предоставление с нарушением сроков, установленных законодательством Российской Федерации, бухгалтерской (финансовой) отчетности. Протокол об административном правонарушении был рассмотрен. После рассмотрения дел суд постановил устное замечание.</w:t>
      </w:r>
    </w:p>
    <w:tbl>
      <w:tblPr>
        <w:tblOverlap w:val="never"/>
        <w:tblLayout w:type="fixed"/>
        <w:jc w:val="center"/>
      </w:tblPr>
      <w:tblGrid>
        <w:gridCol w:w="1843"/>
        <w:gridCol w:w="3672"/>
        <w:gridCol w:w="3821"/>
      </w:tblGrid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80" w:line="260" w:lineRule="exact"/>
              <w:ind w:left="0" w:right="0" w:firstLine="0"/>
            </w:pPr>
            <w:r>
              <w:rPr>
                <w:rStyle w:val="CharStyle7"/>
              </w:rPr>
              <w:t>Дата</w:t>
            </w:r>
          </w:p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80" w:after="0" w:line="260" w:lineRule="exact"/>
              <w:ind w:left="0" w:right="0" w:firstLine="0"/>
            </w:pPr>
            <w:r>
              <w:rPr>
                <w:rStyle w:val="CharStyle7"/>
              </w:rPr>
              <w:t>проверки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7"/>
              </w:rPr>
              <w:t>Тема проверки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7"/>
              </w:rPr>
              <w:t>Результаты проверки</w:t>
            </w:r>
          </w:p>
        </w:tc>
      </w:tr>
      <w:tr>
        <w:trPr>
          <w:trHeight w:val="22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70" w:lineRule="exact"/>
              <w:ind w:left="0" w:right="0" w:firstLine="0"/>
            </w:pPr>
            <w:r>
              <w:rPr>
                <w:rStyle w:val="CharStyle7"/>
              </w:rPr>
              <w:t>С 24 по 28</w:t>
            </w:r>
          </w:p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70" w:lineRule="exact"/>
              <w:ind w:left="0" w:right="0" w:firstLine="0"/>
            </w:pPr>
            <w:r>
              <w:rPr>
                <w:rStyle w:val="CharStyle7"/>
              </w:rPr>
              <w:t>февраля</w:t>
            </w:r>
          </w:p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70" w:lineRule="exact"/>
              <w:ind w:left="0" w:right="0" w:firstLine="0"/>
            </w:pPr>
            <w:r>
              <w:rPr>
                <w:rStyle w:val="CharStyle7"/>
              </w:rPr>
              <w:t>2022г.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70" w:lineRule="exact"/>
              <w:ind w:left="0" w:right="0" w:firstLine="0"/>
            </w:pPr>
            <w:r>
              <w:rPr>
                <w:rStyle w:val="CharStyle7"/>
              </w:rPr>
              <w:t>Эффективное и целевое использования средств, направленных на приобретение и установку дорожных знаков, выделенных 2021 году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70" w:lineRule="exact"/>
              <w:ind w:left="0" w:right="0" w:firstLine="0"/>
            </w:pPr>
            <w:r>
              <w:rPr>
                <w:rStyle w:val="CharStyle7"/>
              </w:rPr>
              <w:t>По эффективному и целевому использованию бюджетных средств финансовых нарушений не установлено.</w:t>
            </w:r>
          </w:p>
        </w:tc>
      </w:tr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70" w:lineRule="exact"/>
              <w:ind w:left="0" w:right="0" w:firstLine="0"/>
            </w:pPr>
            <w:r>
              <w:rPr>
                <w:rStyle w:val="CharStyle7"/>
              </w:rPr>
              <w:t>С 13 по 20 апреля 2022г.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70" w:lineRule="exact"/>
              <w:ind w:left="0" w:right="0" w:firstLine="0"/>
            </w:pPr>
            <w:r>
              <w:rPr>
                <w:rStyle w:val="CharStyle7"/>
              </w:rPr>
              <w:t>Проверка целевого и эффективного</w:t>
            </w:r>
          </w:p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70" w:lineRule="exact"/>
              <w:ind w:left="0" w:right="0" w:firstLine="0"/>
            </w:pPr>
            <w:r>
              <w:rPr>
                <w:rStyle w:val="CharStyle7"/>
              </w:rPr>
              <w:t>использования средств,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70" w:lineRule="exact"/>
              <w:ind w:left="0" w:right="0" w:firstLine="0"/>
            </w:pPr>
            <w:r>
              <w:rPr>
                <w:rStyle w:val="CharStyle7"/>
              </w:rPr>
              <w:t>По эффективному и целевому использованию бюджетных средств выявлено финансовое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43"/>
        <w:gridCol w:w="3682"/>
        <w:gridCol w:w="3830"/>
      </w:tblGrid>
      <w:tr>
        <w:trPr>
          <w:trHeight w:val="18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70" w:lineRule="exact"/>
              <w:ind w:left="120" w:right="0" w:firstLine="0"/>
            </w:pPr>
            <w:r>
              <w:rPr>
                <w:rStyle w:val="CharStyle7"/>
              </w:rPr>
              <w:t>направленных на софинансирования самообложения сельских поселений Хемчик, Ээр- Хавак, Кара-Хол.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70" w:lineRule="exact"/>
              <w:ind w:left="0" w:right="0" w:firstLine="0"/>
            </w:pPr>
            <w:r>
              <w:rPr>
                <w:rStyle w:val="CharStyle7"/>
              </w:rPr>
              <w:t>нарушения, в ходе проверки нарушение устранено.</w:t>
            </w:r>
          </w:p>
        </w:tc>
      </w:tr>
      <w:tr>
        <w:trPr>
          <w:trHeight w:val="18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7"/>
              </w:rPr>
              <w:t>С 18 мая по 27 мая 2022г.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74" w:lineRule="exact"/>
              <w:ind w:left="0" w:right="0" w:firstLine="0"/>
            </w:pPr>
            <w:r>
              <w:rPr>
                <w:rStyle w:val="CharStyle7"/>
              </w:rPr>
              <w:t>Проверка полноты перечисления налога на доходы физических лиц Администрации МР «Бай- Тайгинский кожуун РТ»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74" w:lineRule="exact"/>
              <w:ind w:left="0" w:right="0" w:firstLine="0"/>
            </w:pPr>
            <w:r>
              <w:rPr>
                <w:rStyle w:val="CharStyle7"/>
              </w:rPr>
              <w:t>По эффективному и целевому использованию бюджетных средств выявлено финансовое нарушения, в ходе проверки нарушения устранены.</w:t>
            </w:r>
          </w:p>
        </w:tc>
      </w:tr>
      <w:tr>
        <w:trPr>
          <w:trHeight w:val="413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70" w:lineRule="exact"/>
              <w:ind w:left="0" w:right="0" w:firstLine="0"/>
            </w:pPr>
            <w:r>
              <w:rPr>
                <w:rStyle w:val="CharStyle7"/>
              </w:rPr>
              <w:t>С 6 июля по 11 июля 2022г.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70" w:lineRule="exact"/>
              <w:ind w:left="0" w:right="0" w:firstLine="0"/>
            </w:pPr>
            <w:r>
              <w:rPr>
                <w:rStyle w:val="CharStyle7"/>
              </w:rPr>
              <w:t>Внеплановая проверка обеспечения надлежащего исполнения возложенных функций по социальной поддержке населения, выявление нарушений прав граждан в предоставлении социальных выплат недопущения совершения коррупционных правонарушений.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70" w:lineRule="exact"/>
              <w:ind w:left="0" w:right="0" w:firstLine="0"/>
            </w:pPr>
            <w:r>
              <w:rPr>
                <w:rStyle w:val="CharStyle7"/>
              </w:rPr>
              <w:t>При проверке в предоставлении социальных выплат недопущения совершения коррупционных правонарушений, выявлено финансовое нарушения.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889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Исп. Хертек Ч-С.А.</w:t>
      </w: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1110" w:left="865" w:right="865" w:bottom="1124" w:header="0" w:footer="3" w:gutter="814"/>
      <w:rtlGutter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7">
    <w:name w:val="Основной текст"/>
    <w:basedOn w:val="CharStyle6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600" w:line="35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both"/>
      <w:spacing w:before="600" w:after="300" w:line="379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