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D7" w:rsidRDefault="00963CD7" w:rsidP="00EB162E">
      <w:pPr>
        <w:pStyle w:val="ConsPlusNormal"/>
        <w:ind w:firstLine="540"/>
        <w:jc w:val="both"/>
        <w:rPr>
          <w:rFonts w:ascii="Times New Roman" w:hAnsi="Times New Roman" w:cs="Times New Roman"/>
          <w:sz w:val="28"/>
          <w:szCs w:val="28"/>
        </w:rPr>
      </w:pPr>
    </w:p>
    <w:tbl>
      <w:tblPr>
        <w:tblW w:w="10349" w:type="dxa"/>
        <w:tblLook w:val="00A0" w:firstRow="1" w:lastRow="0" w:firstColumn="1" w:lastColumn="0" w:noHBand="0" w:noVBand="0"/>
      </w:tblPr>
      <w:tblGrid>
        <w:gridCol w:w="4485"/>
        <w:gridCol w:w="1056"/>
        <w:gridCol w:w="4808"/>
      </w:tblGrid>
      <w:tr w:rsidR="00963CD7" w:rsidTr="00963CD7">
        <w:trPr>
          <w:trHeight w:hRule="exact" w:val="964"/>
        </w:trPr>
        <w:tc>
          <w:tcPr>
            <w:tcW w:w="4491" w:type="dxa"/>
          </w:tcPr>
          <w:p w:rsidR="00963CD7" w:rsidRPr="00963CD7" w:rsidRDefault="00963CD7">
            <w:pPr>
              <w:jc w:val="right"/>
              <w:rPr>
                <w:rFonts w:ascii="Times New Roman" w:hAnsi="Times New Roman"/>
                <w:sz w:val="24"/>
                <w:szCs w:val="24"/>
              </w:rPr>
            </w:pPr>
          </w:p>
          <w:p w:rsidR="00963CD7" w:rsidRPr="00963CD7" w:rsidRDefault="00963CD7">
            <w:pPr>
              <w:jc w:val="right"/>
              <w:rPr>
                <w:rFonts w:ascii="Times New Roman" w:hAnsi="Times New Roman"/>
              </w:rPr>
            </w:pPr>
          </w:p>
          <w:p w:rsidR="00963CD7" w:rsidRPr="00963CD7" w:rsidRDefault="00963CD7">
            <w:pPr>
              <w:jc w:val="right"/>
              <w:rPr>
                <w:rFonts w:ascii="Times New Roman" w:hAnsi="Times New Roman"/>
                <w:sz w:val="24"/>
                <w:szCs w:val="24"/>
              </w:rPr>
            </w:pPr>
          </w:p>
        </w:tc>
        <w:tc>
          <w:tcPr>
            <w:tcW w:w="1043" w:type="dxa"/>
            <w:hideMark/>
          </w:tcPr>
          <w:p w:rsidR="00963CD7" w:rsidRPr="00963CD7" w:rsidRDefault="00963CD7">
            <w:pPr>
              <w:jc w:val="right"/>
              <w:rPr>
                <w:rFonts w:ascii="Times New Roman" w:hAnsi="Times New Roman"/>
                <w:sz w:val="24"/>
                <w:szCs w:val="24"/>
              </w:rPr>
            </w:pPr>
            <w:r w:rsidRPr="00963CD7">
              <w:rPr>
                <w:rFonts w:ascii="Times New Roman" w:hAnsi="Times New Roman"/>
                <w:noProof/>
                <w:lang w:eastAsia="ru-RU"/>
              </w:rPr>
              <w:drawing>
                <wp:inline distT="0" distB="0" distL="0" distR="0" wp14:anchorId="3DDCC55F" wp14:editId="598CABD8">
                  <wp:extent cx="527685" cy="580390"/>
                  <wp:effectExtent l="0" t="0" r="5715" b="0"/>
                  <wp:docPr id="1" name="Рисунок 1" descr="Описание: Описание: 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580390"/>
                          </a:xfrm>
                          <a:prstGeom prst="rect">
                            <a:avLst/>
                          </a:prstGeom>
                          <a:noFill/>
                          <a:ln>
                            <a:noFill/>
                          </a:ln>
                        </pic:spPr>
                      </pic:pic>
                    </a:graphicData>
                  </a:graphic>
                </wp:inline>
              </w:drawing>
            </w:r>
          </w:p>
        </w:tc>
        <w:tc>
          <w:tcPr>
            <w:tcW w:w="4815" w:type="dxa"/>
          </w:tcPr>
          <w:p w:rsidR="00963CD7" w:rsidRPr="00963CD7" w:rsidRDefault="00963CD7">
            <w:pPr>
              <w:ind w:firstLine="539"/>
              <w:jc w:val="center"/>
              <w:rPr>
                <w:rFonts w:ascii="Times New Roman" w:hAnsi="Times New Roman"/>
                <w:color w:val="000000"/>
                <w:sz w:val="18"/>
                <w:szCs w:val="18"/>
              </w:rPr>
            </w:pPr>
          </w:p>
        </w:tc>
      </w:tr>
      <w:tr w:rsidR="00963CD7" w:rsidTr="00963CD7">
        <w:trPr>
          <w:trHeight w:val="1870"/>
        </w:trPr>
        <w:tc>
          <w:tcPr>
            <w:tcW w:w="10349" w:type="dxa"/>
            <w:gridSpan w:val="3"/>
            <w:hideMark/>
          </w:tcPr>
          <w:p w:rsidR="00963CD7" w:rsidRPr="00963CD7" w:rsidRDefault="00963CD7">
            <w:pPr>
              <w:jc w:val="center"/>
              <w:rPr>
                <w:rFonts w:ascii="Times New Roman" w:hAnsi="Times New Roman"/>
                <w:sz w:val="24"/>
                <w:szCs w:val="24"/>
              </w:rPr>
            </w:pPr>
            <w:r w:rsidRPr="00963CD7">
              <w:rPr>
                <w:rFonts w:ascii="Times New Roman" w:hAnsi="Times New Roman"/>
              </w:rPr>
              <w:t>ПРОФСОЮЗ РАБОТНИКОВ НАРОДНОГО ОБРАЗОВАНИЯ И НАУКИ РОССИЙСКОЙ ФЕДЕРАЦИИ</w:t>
            </w:r>
          </w:p>
          <w:p w:rsidR="00963CD7" w:rsidRPr="00963CD7" w:rsidRDefault="00963CD7">
            <w:pPr>
              <w:jc w:val="center"/>
              <w:rPr>
                <w:rFonts w:ascii="Times New Roman" w:hAnsi="Times New Roman"/>
                <w:szCs w:val="20"/>
              </w:rPr>
            </w:pPr>
            <w:r w:rsidRPr="00963CD7">
              <w:rPr>
                <w:rFonts w:ascii="Times New Roman" w:hAnsi="Times New Roman"/>
                <w:szCs w:val="20"/>
              </w:rPr>
              <w:t>(ОБЩЕРОССИЙСКИЙ ПРОФСОЮЗ ОБРАЗОВАНИЯ)</w:t>
            </w:r>
          </w:p>
          <w:p w:rsidR="00963CD7" w:rsidRPr="00963CD7" w:rsidRDefault="00963CD7">
            <w:pPr>
              <w:jc w:val="center"/>
              <w:rPr>
                <w:rFonts w:ascii="Times New Roman" w:hAnsi="Times New Roman"/>
                <w:szCs w:val="24"/>
              </w:rPr>
            </w:pPr>
            <w:r w:rsidRPr="00963CD7">
              <w:rPr>
                <w:rFonts w:ascii="Times New Roman" w:hAnsi="Times New Roman"/>
              </w:rPr>
              <w:t>РОСТОВСКАЯ ОБЛАСТНАЯ ОРГАНИЗАЦИЯ</w:t>
            </w:r>
          </w:p>
          <w:p w:rsidR="00963CD7" w:rsidRPr="00963CD7" w:rsidRDefault="00963CD7">
            <w:pPr>
              <w:jc w:val="center"/>
              <w:rPr>
                <w:rFonts w:ascii="Times New Roman" w:hAnsi="Times New Roman"/>
                <w:bCs/>
                <w:sz w:val="32"/>
                <w:szCs w:val="32"/>
              </w:rPr>
            </w:pPr>
            <w:r w:rsidRPr="00963CD7">
              <w:rPr>
                <w:rFonts w:ascii="Times New Roman" w:hAnsi="Times New Roman"/>
                <w:bCs/>
                <w:sz w:val="32"/>
                <w:szCs w:val="32"/>
              </w:rPr>
              <w:t>СЕМИКАРАКОРСКАЯ ПРОФСОЮЗНАЯ ОРГАНИЗАЦИЯ</w:t>
            </w:r>
          </w:p>
          <w:p w:rsidR="00963CD7" w:rsidRPr="00963CD7" w:rsidRDefault="00963CD7">
            <w:pPr>
              <w:jc w:val="center"/>
              <w:rPr>
                <w:rFonts w:ascii="Times New Roman" w:hAnsi="Times New Roman"/>
                <w:sz w:val="28"/>
                <w:szCs w:val="28"/>
              </w:rPr>
            </w:pPr>
          </w:p>
        </w:tc>
      </w:tr>
    </w:tbl>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Информационный листок №1</w:t>
      </w:r>
      <w:r w:rsidR="0014137D">
        <w:rPr>
          <w:rFonts w:ascii="Times New Roman" w:hAnsi="Times New Roman" w:cs="Times New Roman"/>
          <w:sz w:val="28"/>
          <w:szCs w:val="28"/>
        </w:rPr>
        <w:t xml:space="preserve"> </w:t>
      </w:r>
    </w:p>
    <w:p w:rsidR="00963CD7" w:rsidRDefault="00963CD7" w:rsidP="00EB1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63CD7" w:rsidRDefault="00963CD7" w:rsidP="00EB162E">
      <w:pPr>
        <w:pStyle w:val="ConsPlusNormal"/>
        <w:ind w:firstLine="540"/>
        <w:jc w:val="both"/>
        <w:rPr>
          <w:rFonts w:ascii="Times New Roman" w:hAnsi="Times New Roman" w:cs="Times New Roman"/>
          <w:sz w:val="36"/>
          <w:szCs w:val="36"/>
        </w:rPr>
      </w:pPr>
      <w:r w:rsidRPr="00963CD7">
        <w:rPr>
          <w:rFonts w:ascii="Times New Roman" w:hAnsi="Times New Roman" w:cs="Times New Roman"/>
          <w:sz w:val="36"/>
          <w:szCs w:val="36"/>
        </w:rPr>
        <w:t>Дополнительное профессиональное образование</w:t>
      </w:r>
    </w:p>
    <w:p w:rsidR="00963CD7" w:rsidRDefault="00963CD7" w:rsidP="00EB162E">
      <w:pPr>
        <w:pStyle w:val="ConsPlusNormal"/>
        <w:ind w:firstLine="540"/>
        <w:jc w:val="both"/>
        <w:rPr>
          <w:rFonts w:ascii="Times New Roman" w:hAnsi="Times New Roman" w:cs="Times New Roman"/>
          <w:sz w:val="28"/>
          <w:szCs w:val="28"/>
        </w:rPr>
      </w:pP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Право работников на подготовку и дополнительное профессиональное образование (далее - ДПО) установлено </w:t>
      </w:r>
      <w:hyperlink r:id="rId9"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статьей 197</w:t>
        </w:r>
      </w:hyperlink>
      <w:r w:rsidRPr="0073594B">
        <w:rPr>
          <w:rFonts w:ascii="Times New Roman" w:hAnsi="Times New Roman" w:cs="Times New Roman"/>
          <w:sz w:val="28"/>
          <w:szCs w:val="28"/>
        </w:rPr>
        <w:t xml:space="preserve"> Трудового кодекса Российской Федерации (далее - ТК РФ).</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В отношении педагогических работников право на ДПО конкретизировано Федеральным </w:t>
      </w:r>
      <w:hyperlink r:id="rId10" w:tooltip="Федеральный закон от 29.12.2012 N 273-ФЗ (ред. от 29.06.2015) &quot;Об образовании в Российской Федерации&quot;------------ Недействующая редакция{КонсультантПлюс}" w:history="1">
        <w:r w:rsidRPr="0073594B">
          <w:rPr>
            <w:rFonts w:ascii="Times New Roman" w:hAnsi="Times New Roman" w:cs="Times New Roman"/>
            <w:sz w:val="28"/>
            <w:szCs w:val="28"/>
          </w:rPr>
          <w:t>законом</w:t>
        </w:r>
      </w:hyperlink>
      <w:r w:rsidRPr="0073594B">
        <w:rPr>
          <w:rFonts w:ascii="Times New Roman" w:hAnsi="Times New Roman" w:cs="Times New Roman"/>
          <w:sz w:val="28"/>
          <w:szCs w:val="28"/>
        </w:rPr>
        <w:t xml:space="preserve"> от 29 декабря 2012 г. </w:t>
      </w:r>
      <w:r>
        <w:rPr>
          <w:rFonts w:ascii="Times New Roman" w:hAnsi="Times New Roman" w:cs="Times New Roman"/>
          <w:sz w:val="28"/>
          <w:szCs w:val="28"/>
        </w:rPr>
        <w:t>№</w:t>
      </w:r>
      <w:r w:rsidRPr="0073594B">
        <w:rPr>
          <w:rFonts w:ascii="Times New Roman" w:hAnsi="Times New Roman" w:cs="Times New Roman"/>
          <w:sz w:val="28"/>
          <w:szCs w:val="28"/>
        </w:rPr>
        <w:t xml:space="preserve"> 273-ФЗ "Об образовании в Российской Федерации" (далее - Федеральный закон </w:t>
      </w:r>
      <w:r>
        <w:rPr>
          <w:rFonts w:ascii="Times New Roman" w:hAnsi="Times New Roman" w:cs="Times New Roman"/>
          <w:sz w:val="28"/>
          <w:szCs w:val="28"/>
        </w:rPr>
        <w:t>№</w:t>
      </w:r>
      <w:r w:rsidRPr="0073594B">
        <w:rPr>
          <w:rFonts w:ascii="Times New Roman" w:hAnsi="Times New Roman" w:cs="Times New Roman"/>
          <w:sz w:val="28"/>
          <w:szCs w:val="28"/>
        </w:rPr>
        <w:t xml:space="preserve"> 273-ФЗ). Педагогические работники имеют право на ДПО по профилю педагогической деятельности не реже чем один раз в три года (</w:t>
      </w:r>
      <w:hyperlink r:id="rId11" w:tooltip="Федеральный закон от 29.12.2012 N 273-ФЗ (ред. от 29.06.2015) &quot;Об образовании в Российской Федерации&quot;------------ Недействующая редакция{КонсультантПлюс}" w:history="1">
        <w:r w:rsidRPr="0073594B">
          <w:rPr>
            <w:rFonts w:ascii="Times New Roman" w:hAnsi="Times New Roman" w:cs="Times New Roman"/>
            <w:sz w:val="28"/>
            <w:szCs w:val="28"/>
          </w:rPr>
          <w:t>пункт 2 части 5 статьи 47</w:t>
        </w:r>
      </w:hyperlink>
      <w:r w:rsidRPr="0073594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3594B">
        <w:rPr>
          <w:rFonts w:ascii="Times New Roman" w:hAnsi="Times New Roman" w:cs="Times New Roman"/>
          <w:sz w:val="28"/>
          <w:szCs w:val="28"/>
        </w:rPr>
        <w:t xml:space="preserve"> 273-ФЗ).</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ДПО осуществляется посредством реализации дополнительных профессиональных программ (далее - ДПП): программ повышения квалификации и программ профессиональной переподготовки (</w:t>
      </w:r>
      <w:hyperlink r:id="rId12" w:tooltip="Федеральный закон от 29.12.2012 N 273-ФЗ (ред. от 29.06.2015) &quot;Об образовании в Российской Федерации&quot;------------ Недействующая редакция{КонсультантПлюс}" w:history="1">
        <w:r w:rsidRPr="0073594B">
          <w:rPr>
            <w:rFonts w:ascii="Times New Roman" w:hAnsi="Times New Roman" w:cs="Times New Roman"/>
            <w:sz w:val="28"/>
            <w:szCs w:val="28"/>
          </w:rPr>
          <w:t>часть 2 статьи 76</w:t>
        </w:r>
      </w:hyperlink>
      <w:r w:rsidRPr="0073594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3594B">
        <w:rPr>
          <w:rFonts w:ascii="Times New Roman" w:hAnsi="Times New Roman" w:cs="Times New Roman"/>
          <w:sz w:val="28"/>
          <w:szCs w:val="28"/>
        </w:rPr>
        <w:t xml:space="preserve"> 273-ФЗ).</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Организация предоставления ДПО в государственных образовательных организациях субъектов Российской Федерации отнесена к полномочиям органов государственной власти субъектов Российской Федерации в сфере образования (</w:t>
      </w:r>
      <w:hyperlink r:id="rId13" w:tooltip="Федеральный закон от 29.12.2012 N 273-ФЗ (ред. от 29.06.2015) &quot;Об образовании в Российской Федерации&quot;------------ Недействующая редакция{КонсультантПлюс}" w:history="1">
        <w:r w:rsidRPr="0073594B">
          <w:rPr>
            <w:rFonts w:ascii="Times New Roman" w:hAnsi="Times New Roman" w:cs="Times New Roman"/>
            <w:sz w:val="28"/>
            <w:szCs w:val="28"/>
          </w:rPr>
          <w:t>пункт 9 части 1 статьи 8</w:t>
        </w:r>
      </w:hyperlink>
      <w:r w:rsidRPr="0073594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3594B">
        <w:rPr>
          <w:rFonts w:ascii="Times New Roman" w:hAnsi="Times New Roman" w:cs="Times New Roman"/>
          <w:sz w:val="28"/>
          <w:szCs w:val="28"/>
        </w:rPr>
        <w:t xml:space="preserve"> 273-ФЗ). Кроме того, в соответствии с </w:t>
      </w:r>
      <w:hyperlink r:id="rId14" w:tooltip="Федеральный закон от 29.12.2012 N 273-ФЗ (ред. от 29.06.2015) &quot;Об образовании в Российской Федерации&quot;------------ Недействующая редакция{КонсультантПлюс}" w:history="1">
        <w:r w:rsidRPr="0073594B">
          <w:rPr>
            <w:rFonts w:ascii="Times New Roman" w:hAnsi="Times New Roman" w:cs="Times New Roman"/>
            <w:sz w:val="28"/>
            <w:szCs w:val="28"/>
          </w:rPr>
          <w:t>частью 2 статьи 99</w:t>
        </w:r>
      </w:hyperlink>
      <w:r w:rsidRPr="0073594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3594B">
        <w:rPr>
          <w:rFonts w:ascii="Times New Roman" w:hAnsi="Times New Roman" w:cs="Times New Roman"/>
          <w:sz w:val="28"/>
          <w:szCs w:val="28"/>
        </w:rPr>
        <w:t xml:space="preserve"> 273-ФЗ обеспечение ДПО педагогических работников государственных (муниципальных)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(муниципальных) услуг в сфере образования.</w:t>
      </w:r>
    </w:p>
    <w:p w:rsidR="00EB162E" w:rsidRPr="0073594B" w:rsidRDefault="0014137D" w:rsidP="00EB162E">
      <w:pPr>
        <w:pStyle w:val="ConsPlusNormal"/>
        <w:ind w:firstLine="540"/>
        <w:jc w:val="both"/>
        <w:rPr>
          <w:rFonts w:ascii="Times New Roman" w:hAnsi="Times New Roman" w:cs="Times New Roman"/>
          <w:sz w:val="28"/>
          <w:szCs w:val="28"/>
        </w:rPr>
      </w:pPr>
      <w:hyperlink r:id="rId1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Консультан" w:history="1">
        <w:r w:rsidR="00EB162E" w:rsidRPr="0073594B">
          <w:rPr>
            <w:rFonts w:ascii="Times New Roman" w:hAnsi="Times New Roman" w:cs="Times New Roman"/>
            <w:sz w:val="28"/>
            <w:szCs w:val="28"/>
          </w:rPr>
          <w:t>Порядок</w:t>
        </w:r>
      </w:hyperlink>
      <w:r w:rsidR="00EB162E" w:rsidRPr="0073594B">
        <w:rPr>
          <w:rFonts w:ascii="Times New Roman" w:hAnsi="Times New Roman" w:cs="Times New Roman"/>
          <w:sz w:val="28"/>
          <w:szCs w:val="28"/>
        </w:rPr>
        <w:t xml:space="preserve"> организации и осуществления образовательной деятельности по ДПП утвержден приказом Минобрнауки России от 1 июля 2013 г. </w:t>
      </w:r>
      <w:r w:rsidR="00EB162E">
        <w:rPr>
          <w:rFonts w:ascii="Times New Roman" w:hAnsi="Times New Roman" w:cs="Times New Roman"/>
          <w:sz w:val="28"/>
          <w:szCs w:val="28"/>
        </w:rPr>
        <w:t>№</w:t>
      </w:r>
      <w:r w:rsidR="00EB162E" w:rsidRPr="0073594B">
        <w:rPr>
          <w:rFonts w:ascii="Times New Roman" w:hAnsi="Times New Roman" w:cs="Times New Roman"/>
          <w:sz w:val="28"/>
          <w:szCs w:val="28"/>
        </w:rPr>
        <w:t xml:space="preserve"> 499 (далее - Порядок организации ДПО) и является обязательным для организаций ДПО; образовательных организаций высшего образования, </w:t>
      </w:r>
      <w:r w:rsidR="00EB162E" w:rsidRPr="0073594B">
        <w:rPr>
          <w:rFonts w:ascii="Times New Roman" w:hAnsi="Times New Roman" w:cs="Times New Roman"/>
          <w:sz w:val="28"/>
          <w:szCs w:val="28"/>
        </w:rPr>
        <w:lastRenderedPageBreak/>
        <w:t>профессиональных образовательных организаций, организаций, осуществляющих обучение (научные организации или иные юридические лица) (</w:t>
      </w:r>
      <w:hyperlink r:id="rId1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Консультан" w:history="1">
        <w:r w:rsidR="00EB162E" w:rsidRPr="0073594B">
          <w:rPr>
            <w:rFonts w:ascii="Times New Roman" w:hAnsi="Times New Roman" w:cs="Times New Roman"/>
            <w:sz w:val="28"/>
            <w:szCs w:val="28"/>
          </w:rPr>
          <w:t>пункт 2</w:t>
        </w:r>
      </w:hyperlink>
      <w:r w:rsidR="00EB162E" w:rsidRPr="0073594B">
        <w:rPr>
          <w:rFonts w:ascii="Times New Roman" w:hAnsi="Times New Roman" w:cs="Times New Roman"/>
          <w:sz w:val="28"/>
          <w:szCs w:val="28"/>
        </w:rPr>
        <w:t xml:space="preserve"> Порядка организации ДПО).</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К освоению ДПП допускаются лица, имеющие среднее профессиональное и (или) высшее образование, а также лица, получающие среднее профессиональное и (или) высшее образование (</w:t>
      </w:r>
      <w:hyperlink r:id="rId1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Консультан" w:history="1">
        <w:r w:rsidRPr="0073594B">
          <w:rPr>
            <w:rFonts w:ascii="Times New Roman" w:hAnsi="Times New Roman" w:cs="Times New Roman"/>
            <w:sz w:val="28"/>
            <w:szCs w:val="28"/>
          </w:rPr>
          <w:t>пункт 3</w:t>
        </w:r>
      </w:hyperlink>
      <w:r w:rsidRPr="0073594B">
        <w:rPr>
          <w:rFonts w:ascii="Times New Roman" w:hAnsi="Times New Roman" w:cs="Times New Roman"/>
          <w:sz w:val="28"/>
          <w:szCs w:val="28"/>
        </w:rPr>
        <w:t xml:space="preserve"> Порядка организации ДПО).</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Создание условий и организация ДПО работников отнесена к компетенции образовательной организации (</w:t>
      </w:r>
      <w:hyperlink r:id="rId18" w:tooltip="Федеральный закон от 29.12.2012 N 273-ФЗ (ред. от 29.06.2015) &quot;Об образовании в Российской Федерации&quot;------------ Недействующая редакция{КонсультантПлюс}" w:history="1">
        <w:r w:rsidRPr="0073594B">
          <w:rPr>
            <w:rFonts w:ascii="Times New Roman" w:hAnsi="Times New Roman" w:cs="Times New Roman"/>
            <w:sz w:val="28"/>
            <w:szCs w:val="28"/>
          </w:rPr>
          <w:t>пункт 5 части 3 статьи 28</w:t>
        </w:r>
      </w:hyperlink>
      <w:r w:rsidRPr="0073594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3594B">
        <w:rPr>
          <w:rFonts w:ascii="Times New Roman" w:hAnsi="Times New Roman" w:cs="Times New Roman"/>
          <w:sz w:val="28"/>
          <w:szCs w:val="28"/>
        </w:rPr>
        <w:t xml:space="preserve"> 273-ФЗ), фактически - к компетенции работодателя.</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К созданию условий для ДПО работников относится урегулирование не только организационных, но и финансовых вопросов, непосредственно связанных с ДПО работников, в том числе:</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предоставление гарантий и компенсаций, установленных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направление работника на обучение (как в субъекте Российской Федерации, так и за его пределами) за счет бюджетных ассигнований федерального бюджета, бюджетов субъектов Российской Федерации либо оплата обучения работника, зачисляемого на обучение, за счет средств организации, предусмотренных на эти цели, включая средства, доведенные до организации в структуре нормативных затрат на оказание услуг в сфере образования, а также полученные от приносящей доход деятельности.</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Работодателю на условиях и в порядке, которые определяются коллективным договором, соглашениями, трудовым договором (</w:t>
      </w:r>
      <w:hyperlink r:id="rId19"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статья 196</w:t>
        </w:r>
      </w:hyperlink>
      <w:r w:rsidRPr="0073594B">
        <w:rPr>
          <w:rFonts w:ascii="Times New Roman" w:hAnsi="Times New Roman" w:cs="Times New Roman"/>
          <w:sz w:val="28"/>
          <w:szCs w:val="28"/>
        </w:rPr>
        <w:t xml:space="preserve"> ТК РФ), предоставлено право определять необходимость ДПО работников для собственных нужд. Формы подготовки и ДПО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r:id="rId20"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статьей 372</w:t>
        </w:r>
      </w:hyperlink>
      <w:r w:rsidRPr="0073594B">
        <w:rPr>
          <w:rFonts w:ascii="Times New Roman" w:hAnsi="Times New Roman" w:cs="Times New Roman"/>
          <w:sz w:val="28"/>
          <w:szCs w:val="28"/>
        </w:rPr>
        <w:t xml:space="preserve"> ТК РФ для принятия локальных нормативных актов.</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Право работников, в том числе педагогических работников, работников из числа учебно-вспомогательного персонала, на ДПО реализуется путем заключения договора между работником и работодателем (</w:t>
      </w:r>
      <w:hyperlink r:id="rId21"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часть 2 статьи 197</w:t>
        </w:r>
      </w:hyperlink>
      <w:r w:rsidRPr="0073594B">
        <w:rPr>
          <w:rFonts w:ascii="Times New Roman" w:hAnsi="Times New Roman" w:cs="Times New Roman"/>
          <w:sz w:val="28"/>
          <w:szCs w:val="28"/>
        </w:rPr>
        <w:t xml:space="preserve"> ТК РФ).</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В договоре, в том числе трудовом договоре, к примеру, могут содержаться:</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обязанности работодателей по обеспечению реализации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путем освоения дополнительных профессиональных образовательных программ; по предоставлению в соответствии со </w:t>
      </w:r>
      <w:hyperlink r:id="rId22"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статьей 187</w:t>
        </w:r>
      </w:hyperlink>
      <w:r w:rsidRPr="0073594B">
        <w:rPr>
          <w:rFonts w:ascii="Times New Roman" w:hAnsi="Times New Roman" w:cs="Times New Roman"/>
          <w:sz w:val="28"/>
          <w:szCs w:val="28"/>
        </w:rPr>
        <w:t xml:space="preserve"> ТК РФ гарантий и компенсаций работникам, направляемым на ДПО;</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lastRenderedPageBreak/>
        <w:t>обязанности педагогических работников по освоению ДПП при условии направления их работодателями для прохождения ДПО с обеспечением гарантий и компенсаций, предусмотренных законодательством.</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Согласно </w:t>
      </w:r>
      <w:hyperlink r:id="rId23"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 187</w:t>
        </w:r>
      </w:hyperlink>
      <w:r w:rsidRPr="0073594B">
        <w:rPr>
          <w:rFonts w:ascii="Times New Roman" w:hAnsi="Times New Roman" w:cs="Times New Roman"/>
          <w:sz w:val="28"/>
          <w:szCs w:val="28"/>
        </w:rPr>
        <w:t xml:space="preserve"> ТК РФ при направлении работодателем работника на профессиональное обучение или ДПО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ДПО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Возмещение расходов, связанных со служебными командировками, регулируется </w:t>
      </w:r>
      <w:hyperlink r:id="rId24"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статьей 168</w:t>
        </w:r>
      </w:hyperlink>
      <w:r w:rsidRPr="0073594B">
        <w:rPr>
          <w:rFonts w:ascii="Times New Roman" w:hAnsi="Times New Roman" w:cs="Times New Roman"/>
          <w:sz w:val="28"/>
          <w:szCs w:val="28"/>
        </w:rPr>
        <w:t xml:space="preserve"> ТК РФ, в соответствии с которой в случае направления работника в служебную командировку работодатель обязан возмещать ему:</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расходы по проезду;</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расходы по найму жилого помещения;</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дополнительные расходы, связанные с проживанием вне места постоянного жительства (суточные);</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иные расходы, произведенные работником с разрешения или с ведома работодателя.</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Порядок и размеры возмещения расходов, связанных со служебными командировками, согласно указанной </w:t>
      </w:r>
      <w:hyperlink r:id="rId25"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w:t>
        </w:r>
      </w:hyperlink>
      <w:r w:rsidRPr="0073594B">
        <w:rPr>
          <w:rFonts w:ascii="Times New Roman" w:hAnsi="Times New Roman" w:cs="Times New Roman"/>
          <w:sz w:val="28"/>
          <w:szCs w:val="28"/>
        </w:rPr>
        <w:t xml:space="preserve"> определяются:</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работникам федеральных государственных учреждений - нормативными правовыми актами Правительства Российской Федерации;</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работникам государственных учреждений субъектов Российской Федерации и работникам муниципальных учреждений -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В случае если право работника на подготовку и ДПО, закрепленное в договоре, заключенном между работником и работодателем, не реализуется из-за отказа со стороны работодателя выполнить свои обязательства, работник имеет право обратиться в органы по рассмотрению индивидуальных трудовых споров (комиссия по трудовым спорам, суд) либо в федеральную инспекцию труда за восстановлением нарушенного права на ДПО.</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Если работник направляется работодателем для получения ДПО, но работодатель не обеспечивает предоставление ему предусмотренных законодательством и договором гарантий и компенсаций, то работник вправе отказаться от получения ДПО.</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При выполнении работодателем условий договора, связанного с ДПО, включая предоставление гарантий, работник не вправе без уважительных </w:t>
      </w:r>
      <w:r w:rsidRPr="0073594B">
        <w:rPr>
          <w:rFonts w:ascii="Times New Roman" w:hAnsi="Times New Roman" w:cs="Times New Roman"/>
          <w:sz w:val="28"/>
          <w:szCs w:val="28"/>
        </w:rPr>
        <w:lastRenderedPageBreak/>
        <w:t>причин отказаться от получения ДПО, в том числе в случаях, когда ДПО осуществляется с применением формы организации образовательной деятельности, основанной на модульном принципе, в течение учебного года без отрыва от основной работы.</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 xml:space="preserve">Отказ педагогического работника от прохождения ДПО в таких случаях будет являться дисциплинарным проступком, то есть неисполнением работником по его вине возложенных на него в соответствии с трудовым договором трудовых обязанностей. За совершение указанного проступка работодатель имеет право применить соответствующее дисциплинарное взыскание, предусмотренное </w:t>
      </w:r>
      <w:hyperlink r:id="rId26" w:tooltip="&quot;Трудовой кодекс Российской Федерации&quot; от 30.12.2001 N 197-ФЗ (ред. от 08.06.2015)------------ Недействующая редакция{КонсультантПлюс}" w:history="1">
        <w:r w:rsidRPr="0073594B">
          <w:rPr>
            <w:rFonts w:ascii="Times New Roman" w:hAnsi="Times New Roman" w:cs="Times New Roman"/>
            <w:sz w:val="28"/>
            <w:szCs w:val="28"/>
          </w:rPr>
          <w:t>статьей 192</w:t>
        </w:r>
      </w:hyperlink>
      <w:r w:rsidRPr="0073594B">
        <w:rPr>
          <w:rFonts w:ascii="Times New Roman" w:hAnsi="Times New Roman" w:cs="Times New Roman"/>
          <w:sz w:val="28"/>
          <w:szCs w:val="28"/>
        </w:rPr>
        <w:t xml:space="preserve"> ТК РФ.</w:t>
      </w:r>
    </w:p>
    <w:p w:rsidR="00EB162E" w:rsidRPr="0073594B" w:rsidRDefault="00EB162E" w:rsidP="00EB162E">
      <w:pPr>
        <w:pStyle w:val="ConsPlusNormal"/>
        <w:ind w:firstLine="540"/>
        <w:jc w:val="both"/>
        <w:rPr>
          <w:rFonts w:ascii="Times New Roman" w:hAnsi="Times New Roman" w:cs="Times New Roman"/>
          <w:sz w:val="28"/>
          <w:szCs w:val="28"/>
        </w:rPr>
      </w:pPr>
      <w:r w:rsidRPr="0073594B">
        <w:rPr>
          <w:rFonts w:ascii="Times New Roman" w:hAnsi="Times New Roman" w:cs="Times New Roman"/>
          <w:sz w:val="28"/>
          <w:szCs w:val="28"/>
        </w:rPr>
        <w:t>В то же время при аттестации педагогических работников следует учитывать, что неполучение ими ДПО не может служить основанием для отказа в установлении педагогическим работникам квалификационной категории либо для признания их не соответствующими занимаемой должности.</w:t>
      </w:r>
    </w:p>
    <w:p w:rsidR="00EB162E" w:rsidRDefault="00EB162E"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Default="00963CD7" w:rsidP="00EB162E">
      <w:pPr>
        <w:pStyle w:val="ConsPlusNormal"/>
        <w:ind w:firstLine="540"/>
        <w:jc w:val="both"/>
        <w:rPr>
          <w:rFonts w:ascii="Times New Roman" w:hAnsi="Times New Roman" w:cs="Times New Roman"/>
          <w:sz w:val="28"/>
          <w:szCs w:val="28"/>
        </w:rPr>
      </w:pPr>
    </w:p>
    <w:p w:rsidR="00963CD7" w:rsidRPr="0073594B" w:rsidRDefault="00963CD7" w:rsidP="00EB162E">
      <w:pPr>
        <w:pStyle w:val="ConsPlusNormal"/>
        <w:ind w:firstLine="540"/>
        <w:jc w:val="both"/>
        <w:rPr>
          <w:rFonts w:ascii="Times New Roman" w:hAnsi="Times New Roman" w:cs="Times New Roman"/>
          <w:sz w:val="28"/>
          <w:szCs w:val="28"/>
        </w:rPr>
      </w:pPr>
    </w:p>
    <w:p w:rsidR="00D85D86" w:rsidRDefault="00D85D86"/>
    <w:tbl>
      <w:tblPr>
        <w:tblW w:w="10349" w:type="dxa"/>
        <w:tblLook w:val="00A0" w:firstRow="1" w:lastRow="0" w:firstColumn="1" w:lastColumn="0" w:noHBand="0" w:noVBand="0"/>
      </w:tblPr>
      <w:tblGrid>
        <w:gridCol w:w="4485"/>
        <w:gridCol w:w="1056"/>
        <w:gridCol w:w="4808"/>
      </w:tblGrid>
      <w:tr w:rsidR="00963CD7" w:rsidRPr="00963CD7" w:rsidTr="00963CD7">
        <w:trPr>
          <w:trHeight w:hRule="exact" w:val="964"/>
        </w:trPr>
        <w:tc>
          <w:tcPr>
            <w:tcW w:w="4485" w:type="dxa"/>
          </w:tcPr>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Default="00963CD7" w:rsidP="002B4D53">
            <w:pPr>
              <w:jc w:val="right"/>
              <w:rPr>
                <w:rFonts w:ascii="Times New Roman" w:hAnsi="Times New Roman"/>
                <w:sz w:val="24"/>
                <w:szCs w:val="24"/>
              </w:rPr>
            </w:pPr>
          </w:p>
          <w:p w:rsidR="00963CD7" w:rsidRPr="00963CD7" w:rsidRDefault="00963CD7" w:rsidP="002B4D53">
            <w:pPr>
              <w:jc w:val="right"/>
              <w:rPr>
                <w:rFonts w:ascii="Times New Roman" w:hAnsi="Times New Roman"/>
                <w:sz w:val="24"/>
                <w:szCs w:val="24"/>
              </w:rPr>
            </w:pPr>
          </w:p>
          <w:p w:rsidR="00963CD7" w:rsidRPr="00963CD7" w:rsidRDefault="00963CD7" w:rsidP="002B4D53">
            <w:pPr>
              <w:jc w:val="right"/>
              <w:rPr>
                <w:rFonts w:ascii="Times New Roman" w:hAnsi="Times New Roman"/>
              </w:rPr>
            </w:pPr>
          </w:p>
          <w:p w:rsidR="00963CD7" w:rsidRPr="00963CD7" w:rsidRDefault="00963CD7" w:rsidP="002B4D53">
            <w:pPr>
              <w:jc w:val="right"/>
              <w:rPr>
                <w:rFonts w:ascii="Times New Roman" w:hAnsi="Times New Roman"/>
                <w:sz w:val="24"/>
                <w:szCs w:val="24"/>
              </w:rPr>
            </w:pPr>
          </w:p>
        </w:tc>
        <w:tc>
          <w:tcPr>
            <w:tcW w:w="1056" w:type="dxa"/>
            <w:hideMark/>
          </w:tcPr>
          <w:p w:rsidR="00963CD7" w:rsidRPr="00963CD7" w:rsidRDefault="00963CD7" w:rsidP="002B4D53">
            <w:pPr>
              <w:jc w:val="right"/>
              <w:rPr>
                <w:rFonts w:ascii="Times New Roman" w:hAnsi="Times New Roman"/>
                <w:sz w:val="24"/>
                <w:szCs w:val="24"/>
              </w:rPr>
            </w:pPr>
            <w:r w:rsidRPr="00963CD7">
              <w:rPr>
                <w:rFonts w:ascii="Times New Roman" w:hAnsi="Times New Roman"/>
                <w:noProof/>
                <w:lang w:eastAsia="ru-RU"/>
              </w:rPr>
              <w:drawing>
                <wp:inline distT="0" distB="0" distL="0" distR="0" wp14:anchorId="794E064C" wp14:editId="415478A3">
                  <wp:extent cx="527685" cy="580390"/>
                  <wp:effectExtent l="0" t="0" r="5715" b="0"/>
                  <wp:docPr id="2" name="Рисунок 2" descr="Описание: Описание: 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580390"/>
                          </a:xfrm>
                          <a:prstGeom prst="rect">
                            <a:avLst/>
                          </a:prstGeom>
                          <a:noFill/>
                          <a:ln>
                            <a:noFill/>
                          </a:ln>
                        </pic:spPr>
                      </pic:pic>
                    </a:graphicData>
                  </a:graphic>
                </wp:inline>
              </w:drawing>
            </w:r>
          </w:p>
        </w:tc>
        <w:tc>
          <w:tcPr>
            <w:tcW w:w="4808" w:type="dxa"/>
          </w:tcPr>
          <w:p w:rsidR="00963CD7" w:rsidRPr="00963CD7" w:rsidRDefault="00963CD7" w:rsidP="002B4D53">
            <w:pPr>
              <w:ind w:firstLine="539"/>
              <w:jc w:val="center"/>
              <w:rPr>
                <w:rFonts w:ascii="Times New Roman" w:hAnsi="Times New Roman"/>
                <w:color w:val="000000"/>
                <w:sz w:val="18"/>
                <w:szCs w:val="18"/>
              </w:rPr>
            </w:pPr>
          </w:p>
        </w:tc>
      </w:tr>
      <w:tr w:rsidR="00963CD7" w:rsidRPr="00963CD7" w:rsidTr="002B4D53">
        <w:trPr>
          <w:trHeight w:val="1870"/>
        </w:trPr>
        <w:tc>
          <w:tcPr>
            <w:tcW w:w="10349" w:type="dxa"/>
            <w:gridSpan w:val="3"/>
            <w:hideMark/>
          </w:tcPr>
          <w:p w:rsidR="00963CD7" w:rsidRPr="00963CD7" w:rsidRDefault="00963CD7" w:rsidP="002B4D53">
            <w:pPr>
              <w:jc w:val="center"/>
              <w:rPr>
                <w:rFonts w:ascii="Times New Roman" w:hAnsi="Times New Roman"/>
                <w:sz w:val="24"/>
                <w:szCs w:val="24"/>
              </w:rPr>
            </w:pPr>
            <w:r w:rsidRPr="00963CD7">
              <w:rPr>
                <w:rFonts w:ascii="Times New Roman" w:hAnsi="Times New Roman"/>
              </w:rPr>
              <w:t>ПРОФСОЮЗ РАБОТНИКОВ НАРОДНОГО ОБРАЗОВАНИЯ И НАУКИ РОССИЙСКОЙ ФЕДЕРАЦИИ</w:t>
            </w:r>
          </w:p>
          <w:p w:rsidR="00963CD7" w:rsidRPr="00963CD7" w:rsidRDefault="00963CD7" w:rsidP="002B4D53">
            <w:pPr>
              <w:jc w:val="center"/>
              <w:rPr>
                <w:rFonts w:ascii="Times New Roman" w:hAnsi="Times New Roman"/>
                <w:szCs w:val="20"/>
              </w:rPr>
            </w:pPr>
            <w:r w:rsidRPr="00963CD7">
              <w:rPr>
                <w:rFonts w:ascii="Times New Roman" w:hAnsi="Times New Roman"/>
                <w:szCs w:val="20"/>
              </w:rPr>
              <w:t>(ОБЩЕРОССИЙСКИЙ ПРОФСОЮЗ ОБРАЗОВАНИЯ)</w:t>
            </w:r>
          </w:p>
          <w:p w:rsidR="00963CD7" w:rsidRPr="00963CD7" w:rsidRDefault="00963CD7" w:rsidP="002B4D53">
            <w:pPr>
              <w:jc w:val="center"/>
              <w:rPr>
                <w:rFonts w:ascii="Times New Roman" w:hAnsi="Times New Roman"/>
                <w:szCs w:val="24"/>
              </w:rPr>
            </w:pPr>
            <w:r w:rsidRPr="00963CD7">
              <w:rPr>
                <w:rFonts w:ascii="Times New Roman" w:hAnsi="Times New Roman"/>
              </w:rPr>
              <w:t>РОСТОВСКАЯ ОБЛАСТНАЯ ОРГАНИЗАЦИЯ</w:t>
            </w:r>
          </w:p>
          <w:p w:rsidR="00963CD7" w:rsidRPr="00963CD7" w:rsidRDefault="00963CD7" w:rsidP="002B4D53">
            <w:pPr>
              <w:jc w:val="center"/>
              <w:rPr>
                <w:rFonts w:ascii="Times New Roman" w:hAnsi="Times New Roman"/>
                <w:bCs/>
                <w:sz w:val="32"/>
                <w:szCs w:val="32"/>
              </w:rPr>
            </w:pPr>
            <w:r w:rsidRPr="00963CD7">
              <w:rPr>
                <w:rFonts w:ascii="Times New Roman" w:hAnsi="Times New Roman"/>
                <w:bCs/>
                <w:sz w:val="32"/>
                <w:szCs w:val="32"/>
              </w:rPr>
              <w:t>СЕМИКАРАКОРСКАЯ ПРОФСОЮЗНАЯ ОРГАНИЗАЦИЯ</w:t>
            </w:r>
          </w:p>
          <w:p w:rsidR="00963CD7" w:rsidRPr="00963CD7" w:rsidRDefault="00963CD7" w:rsidP="002B4D53">
            <w:pPr>
              <w:jc w:val="center"/>
              <w:rPr>
                <w:rFonts w:ascii="Times New Roman" w:hAnsi="Times New Roman"/>
                <w:sz w:val="28"/>
                <w:szCs w:val="28"/>
              </w:rPr>
            </w:pPr>
          </w:p>
        </w:tc>
      </w:tr>
    </w:tbl>
    <w:p w:rsidR="00963CD7" w:rsidRPr="00963CD7" w:rsidRDefault="00963CD7" w:rsidP="00963CD7">
      <w:pPr>
        <w:pStyle w:val="ConsPlusNormal"/>
        <w:ind w:firstLine="540"/>
        <w:jc w:val="both"/>
        <w:rPr>
          <w:rFonts w:ascii="Times New Roman" w:hAnsi="Times New Roman" w:cs="Times New Roman"/>
          <w:b/>
          <w:sz w:val="28"/>
          <w:szCs w:val="28"/>
        </w:rPr>
      </w:pPr>
      <w:r w:rsidRPr="00963CD7">
        <w:rPr>
          <w:rFonts w:ascii="Times New Roman" w:hAnsi="Times New Roman" w:cs="Times New Roman"/>
          <w:b/>
          <w:sz w:val="28"/>
          <w:szCs w:val="28"/>
        </w:rPr>
        <w:t>Информационный листок №2</w:t>
      </w:r>
      <w:r w:rsidR="0014137D">
        <w:rPr>
          <w:rFonts w:ascii="Times New Roman" w:hAnsi="Times New Roman" w:cs="Times New Roman"/>
          <w:b/>
          <w:sz w:val="28"/>
          <w:szCs w:val="28"/>
        </w:rPr>
        <w:t xml:space="preserve"> </w:t>
      </w:r>
      <w:bookmarkStart w:id="0" w:name="_GoBack"/>
      <w:bookmarkEnd w:id="0"/>
    </w:p>
    <w:p w:rsidR="00963CD7" w:rsidRDefault="00963CD7" w:rsidP="00963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1A3824" w:rsidRPr="00963CD7" w:rsidRDefault="00963CD7" w:rsidP="00963CD7">
      <w:pPr>
        <w:pStyle w:val="a3"/>
        <w:shd w:val="clear" w:color="auto" w:fill="FFFFFF"/>
        <w:spacing w:line="270" w:lineRule="atLeast"/>
        <w:jc w:val="center"/>
        <w:rPr>
          <w:b/>
          <w:color w:val="000000"/>
          <w:sz w:val="32"/>
          <w:szCs w:val="32"/>
        </w:rPr>
      </w:pPr>
      <w:r w:rsidRPr="00963CD7">
        <w:rPr>
          <w:b/>
          <w:color w:val="000000"/>
          <w:sz w:val="32"/>
          <w:szCs w:val="32"/>
        </w:rPr>
        <w:t>Правила предоставления педагогическим работникам длительного отпуска сроком до одного года</w:t>
      </w:r>
      <w:r>
        <w:rPr>
          <w:b/>
          <w:color w:val="000000"/>
          <w:sz w:val="32"/>
          <w:szCs w:val="32"/>
        </w:rPr>
        <w:t>.</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Утверждены новые правила предоставления педагогическим работникам длительного отпуска сроком до одного года</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Право на получение такого отпуска предусмотрено Трудовым кодексом РФ, согласно которому педагогические работники имеют право на длительный отпуск сроком до одного года не реже чем через каждые десять лет непрерывной педагогической работы.</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Новыми правилами уточнено, что такое право распространяется на работников, замещающих должности, поименованные в разделе I номенклатуры должностей педагогических работников (утв. Постановлением Правительства РФ от 08.08.2013 N 678).</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Кроме того, уточнен порядок исчисления стажа непрерывной педагогической работы при получении такого отпуска.</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В соответствии с новыми правилами при предоставлении отпуска сроком до одного года учитывается:</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1) Фактически проработанное время замещения должностей педагогических работников по трудовому договору. При этом периоды фактически проработанного времени суммируются, если продолжительность перерыва между увольнением и поступлением на работу (либо после увольнения из органов власти в сфере образования, при условии, что работе в указанных органах предшествовала педагогическая работа) составляет не более трех месяцев;</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lastRenderedPageBreak/>
        <w:t>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образовательной организации и днем поступления на педагогическую работу не превысил одного месяца.</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Определено также, что продолжительность длительного отпуска, очередность его предоставления, разделение его на части, продление на основании листка нетрудоспособности, присоединение длительного отпуска к ежегодному основному оплачиваемому отпуску и другие вопросы определяются коллективным договором, а не уставом образовательного учреждения, как это было ранее.</w:t>
      </w:r>
    </w:p>
    <w:p w:rsidR="001A3824" w:rsidRPr="001A3824" w:rsidRDefault="001A3824" w:rsidP="001A3824">
      <w:pPr>
        <w:pStyle w:val="a3"/>
        <w:shd w:val="clear" w:color="auto" w:fill="FFFFFF"/>
        <w:spacing w:line="270" w:lineRule="atLeast"/>
        <w:rPr>
          <w:color w:val="000000"/>
          <w:sz w:val="28"/>
          <w:szCs w:val="28"/>
        </w:rPr>
      </w:pPr>
      <w:r w:rsidRPr="001A3824">
        <w:rPr>
          <w:color w:val="000000"/>
          <w:sz w:val="28"/>
          <w:szCs w:val="28"/>
        </w:rPr>
        <w:t>Признан утратившим силу Приказ Минобразования России от 07.12.2000 N 3570, которым был утвержден ранее действовавший порядок предоставления такого отпуска.</w:t>
      </w:r>
    </w:p>
    <w:p w:rsidR="001A3824" w:rsidRPr="001A3824" w:rsidRDefault="001A3824" w:rsidP="001A3824">
      <w:pPr>
        <w:spacing w:after="0" w:line="360" w:lineRule="auto"/>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Зарегистрировано в Минюсте России 15 июня 2016 г. N 42532</w:t>
      </w:r>
    </w:p>
    <w:p w:rsidR="001A3824" w:rsidRPr="001A3824" w:rsidRDefault="0014137D" w:rsidP="001A382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5" style="width:0;height:1.5pt" o:hralign="center" o:hrstd="t" o:hrnoshade="t" o:hr="t" fillcolor="black" stroked="f"/>
        </w:pic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МИНИСТЕРСТВО ОБРАЗОВАНИЯ И НАУКИ РОССИЙСКОЙ ФЕДЕРАЦИИ</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 </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ПРИКАЗ</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от 31 мая 2016 г. N 644</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 </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ОБ УТВЕРЖДЕНИИ ПОРЯДКА</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ПРЕДОСТАВЛЕНИЯ ПЕДАГОГИЧЕСКИМ РАБОТНИКАМ ОРГАНИЗАЦИЙ,</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ОСУЩЕСТВЛЯЮЩИХ ОБРАЗОВАТЕЛЬНУЮ ДЕЯТЕЛЬНОСТЬ, ДЛИТЕЛЬНОГО</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ОТПУСКА СРОКОМ ДО ОДНОГО ГОДА</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lastRenderedPageBreak/>
        <w:t> </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xml:space="preserve">В соответствии со </w:t>
      </w:r>
      <w:r w:rsidRPr="001A3824">
        <w:rPr>
          <w:rFonts w:ascii="Times New Roman" w:eastAsia="Times New Roman" w:hAnsi="Times New Roman"/>
          <w:color w:val="0000FF"/>
          <w:sz w:val="28"/>
          <w:szCs w:val="28"/>
          <w:u w:val="single"/>
          <w:lang w:eastAsia="ru-RU"/>
        </w:rPr>
        <w:t>статьей 335</w:t>
      </w:r>
      <w:r w:rsidRPr="001A3824">
        <w:rPr>
          <w:rFonts w:ascii="Times New Roman" w:eastAsia="Times New Roman" w:hAnsi="Times New Roman"/>
          <w:sz w:val="28"/>
          <w:szCs w:val="28"/>
          <w:lang w:eastAsia="ru-RU"/>
        </w:rPr>
        <w:t xml:space="preserve"> Трудового кодекса Российской Федерации (Собрание законодательства Российской Федерации, 2002, N 1, ст. 3; N 19,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N 26, ст. 3405, ст. 3377; N 30, ст. 4217; N 45, ст. 6143; N 48, ст. 6639; N 49, ст. 6918; N 52, ст. 7543, ст. 7554; 2015, N 1, ст. 10, ст. 42, ст. 72; N 14, ст. 2022; N 24, ст. 3379; N 27, ст. 3991, ст. 3992; N 29, ст. 4356, ст. 4359, ст. 4363, ст. 4368; N 41, ст. 5639; 2016, N 1, ст. 11, ст. 54), </w:t>
      </w:r>
      <w:r w:rsidRPr="001A3824">
        <w:rPr>
          <w:rFonts w:ascii="Times New Roman" w:eastAsia="Times New Roman" w:hAnsi="Times New Roman"/>
          <w:color w:val="0000FF"/>
          <w:sz w:val="28"/>
          <w:szCs w:val="28"/>
          <w:u w:val="single"/>
          <w:lang w:eastAsia="ru-RU"/>
        </w:rPr>
        <w:t>пунктом 4 части 5 статьи 47</w:t>
      </w:r>
      <w:r w:rsidRPr="001A3824">
        <w:rPr>
          <w:rFonts w:ascii="Times New Roman" w:eastAsia="Times New Roman" w:hAnsi="Times New Roman"/>
          <w:sz w:val="28"/>
          <w:szCs w:val="28"/>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27, ст. 3951, ст. 3989; N 29, ст. 4339, ст. 4364; N 51, ст. 7241; 2016, N 1, ст. 8, ст. 9, ст. 24, ст. 78; N 10, ст. 1320) и </w:t>
      </w:r>
      <w:r w:rsidRPr="001A3824">
        <w:rPr>
          <w:rFonts w:ascii="Times New Roman" w:eastAsia="Times New Roman" w:hAnsi="Times New Roman"/>
          <w:color w:val="0000FF"/>
          <w:sz w:val="28"/>
          <w:szCs w:val="28"/>
          <w:u w:val="single"/>
          <w:lang w:eastAsia="ru-RU"/>
        </w:rPr>
        <w:t>подпунктом 5.2.26</w:t>
      </w:r>
      <w:r w:rsidRPr="001A3824">
        <w:rPr>
          <w:rFonts w:ascii="Times New Roman" w:eastAsia="Times New Roman" w:hAnsi="Times New Roman"/>
          <w:sz w:val="28"/>
          <w:szCs w:val="28"/>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приказываю:</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lastRenderedPageBreak/>
        <w:t xml:space="preserve">1. Утвердить прилагаемый </w:t>
      </w:r>
      <w:r w:rsidRPr="001A3824">
        <w:rPr>
          <w:rFonts w:ascii="Times New Roman" w:eastAsia="Times New Roman" w:hAnsi="Times New Roman"/>
          <w:color w:val="0000FF"/>
          <w:sz w:val="28"/>
          <w:szCs w:val="28"/>
          <w:u w:val="single"/>
          <w:lang w:eastAsia="ru-RU"/>
        </w:rPr>
        <w:t>Порядок</w:t>
      </w:r>
      <w:r w:rsidRPr="001A3824">
        <w:rPr>
          <w:rFonts w:ascii="Times New Roman" w:eastAsia="Times New Roman" w:hAnsi="Times New Roman"/>
          <w:sz w:val="28"/>
          <w:szCs w:val="28"/>
          <w:lang w:eastAsia="ru-RU"/>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xml:space="preserve">2. Признать утратившим силу </w:t>
      </w:r>
      <w:r w:rsidRPr="001A3824">
        <w:rPr>
          <w:rFonts w:ascii="Times New Roman" w:eastAsia="Times New Roman" w:hAnsi="Times New Roman"/>
          <w:color w:val="0000FF"/>
          <w:sz w:val="28"/>
          <w:szCs w:val="28"/>
          <w:u w:val="single"/>
          <w:lang w:eastAsia="ru-RU"/>
        </w:rPr>
        <w:t>приказ</w:t>
      </w:r>
      <w:r w:rsidRPr="001A3824">
        <w:rPr>
          <w:rFonts w:ascii="Times New Roman" w:eastAsia="Times New Roman" w:hAnsi="Times New Roman"/>
          <w:sz w:val="28"/>
          <w:szCs w:val="28"/>
          <w:lang w:eastAsia="ru-RU"/>
        </w:rPr>
        <w:t xml:space="preserve"> Министерства образования Российской Федерации от 7 декабря 2000 г. N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(зарегистрирован Министерством юстиции Российской Федерации 5 марта 2001 г., регистрационный N 2593).</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Министр</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Д.В.ЛИВАНОВ</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Приложение</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Утвержден</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приказом Министерства образования</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и науки Российской Федерации</w:t>
      </w:r>
    </w:p>
    <w:p w:rsidR="001A3824" w:rsidRPr="001A3824" w:rsidRDefault="001A3824" w:rsidP="001A3824">
      <w:pPr>
        <w:spacing w:after="0" w:line="360" w:lineRule="auto"/>
        <w:jc w:val="right"/>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от 31 мая 2016 г. N 644</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ПОРЯДОК</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ПРЕДОСТАВЛЕНИЯ ПЕДАГОГИЧЕСКИМ РАБОТНИКАМ ОРГАНИЗАЦИЙ,</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ОСУЩЕСТВЛЯЮЩИХ ОБРАЗОВАТЕЛЬНУЮ ДЕЯТЕЛЬНОСТЬ, ДЛИТЕЛЬНОГО</w:t>
      </w:r>
    </w:p>
    <w:p w:rsidR="001A3824" w:rsidRPr="001A3824" w:rsidRDefault="001A3824" w:rsidP="001A3824">
      <w:pPr>
        <w:spacing w:after="0" w:line="360" w:lineRule="auto"/>
        <w:jc w:val="center"/>
        <w:rPr>
          <w:rFonts w:ascii="Times New Roman" w:eastAsia="Times New Roman" w:hAnsi="Times New Roman"/>
          <w:b/>
          <w:bCs/>
          <w:sz w:val="28"/>
          <w:szCs w:val="28"/>
          <w:lang w:eastAsia="ru-RU"/>
        </w:rPr>
      </w:pPr>
      <w:r w:rsidRPr="001A3824">
        <w:rPr>
          <w:rFonts w:ascii="Times New Roman" w:eastAsia="Times New Roman" w:hAnsi="Times New Roman"/>
          <w:b/>
          <w:bCs/>
          <w:sz w:val="28"/>
          <w:szCs w:val="28"/>
          <w:lang w:eastAsia="ru-RU"/>
        </w:rPr>
        <w:t>ОТПУСКА СРОКОМ ДО ОДНОГО ГОДА</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xml:space="preserve">1. Порядок предоставления педагогическим работникам длительного отпуска сроком до одного года устанавливает правила и условия </w:t>
      </w:r>
      <w:r w:rsidRPr="001A3824">
        <w:rPr>
          <w:rFonts w:ascii="Times New Roman" w:eastAsia="Times New Roman" w:hAnsi="Times New Roman"/>
          <w:sz w:val="28"/>
          <w:szCs w:val="28"/>
          <w:lang w:eastAsia="ru-RU"/>
        </w:rPr>
        <w:lastRenderedPageBreak/>
        <w:t>предоставления педагогическим работникам организаций, осуществляющих образовательную деятельность, длительного отпуска сроком до одного года (далее соответственно - длительный отпуск, организация, Порядок).</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xml:space="preserve">2. Педагогические работники, замещающие должности, поименованные в </w:t>
      </w:r>
      <w:r w:rsidRPr="001A3824">
        <w:rPr>
          <w:rFonts w:ascii="Times New Roman" w:eastAsia="Times New Roman" w:hAnsi="Times New Roman"/>
          <w:color w:val="0000FF"/>
          <w:sz w:val="28"/>
          <w:szCs w:val="28"/>
          <w:u w:val="single"/>
          <w:lang w:eastAsia="ru-RU"/>
        </w:rPr>
        <w:t>разделе I</w:t>
      </w:r>
      <w:r w:rsidRPr="001A3824">
        <w:rPr>
          <w:rFonts w:ascii="Times New Roman" w:eastAsia="Times New Roman" w:hAnsi="Times New Roman"/>
          <w:sz w:val="28"/>
          <w:szCs w:val="28"/>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 &lt;*&gt;.</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xml:space="preserve">&lt;*&gt; См. </w:t>
      </w:r>
      <w:r w:rsidRPr="001A3824">
        <w:rPr>
          <w:rFonts w:ascii="Times New Roman" w:eastAsia="Times New Roman" w:hAnsi="Times New Roman"/>
          <w:color w:val="0000FF"/>
          <w:sz w:val="28"/>
          <w:szCs w:val="28"/>
          <w:u w:val="single"/>
          <w:lang w:eastAsia="ru-RU"/>
        </w:rPr>
        <w:t>статью 335</w:t>
      </w:r>
      <w:r w:rsidRPr="001A3824">
        <w:rPr>
          <w:rFonts w:ascii="Times New Roman" w:eastAsia="Times New Roman" w:hAnsi="Times New Roman"/>
          <w:sz w:val="28"/>
          <w:szCs w:val="28"/>
          <w:lang w:eastAsia="ru-RU"/>
        </w:rPr>
        <w:t xml:space="preserve"> Трудового кодекса Российской Федерации (Собрание законодательства Российской Федерации, 2002, N 1, ст. 3; N 19,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N 26, ст. 3405; N 30, ст. 4217; N 45, ст. 6143; N 48, ст. 6639; N 49, ст. 6918; N 52, ст. 7543, ст. 7554; 2015, N 1, ст. 10, ст. 42, ст. 72; N 14, ст. 2022; N 24, ст. 3379; N 27, ст. 3991, ст. 3992; N 29, ст. 4356, ст. 4359, ст. 4363, ст. 4368; N 41, ст. 5639; 2016, N 1, ст. 11, ст. 54).</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xml:space="preserve">3. Продолжительность непрерывной педагогической работы устанавливается организацией в соответствии с записями в трудовой книжке </w:t>
      </w:r>
      <w:r w:rsidRPr="001A3824">
        <w:rPr>
          <w:rFonts w:ascii="Times New Roman" w:eastAsia="Times New Roman" w:hAnsi="Times New Roman"/>
          <w:sz w:val="28"/>
          <w:szCs w:val="28"/>
          <w:lang w:eastAsia="ru-RU"/>
        </w:rPr>
        <w:lastRenderedPageBreak/>
        <w:t>или на основании других надлежащим образом оформленных документов, подтверждающих факт непрерывной педагогической работы.</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4. При предоставлении длительного отпуска сроком до одного года учитывается:</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4.1.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4.2.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4.3.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5.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lastRenderedPageBreak/>
        <w:t>6. Длительный отпуск предоставляется педагогическому работнику на основании его заявления и оформляется распорядительным актом организации.</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7. За педагогическими работниками, находящимися в длительном отпуске, сохраняется место работы (должность).</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1A3824" w:rsidRPr="001A3824" w:rsidRDefault="001A3824" w:rsidP="001A3824">
      <w:pPr>
        <w:spacing w:after="0" w:line="312" w:lineRule="auto"/>
        <w:ind w:firstLine="547"/>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rsidP="001A3824">
      <w:pPr>
        <w:spacing w:after="0" w:line="312" w:lineRule="auto"/>
        <w:jc w:val="both"/>
        <w:rPr>
          <w:rFonts w:ascii="Times New Roman" w:eastAsia="Times New Roman" w:hAnsi="Times New Roman"/>
          <w:sz w:val="28"/>
          <w:szCs w:val="28"/>
          <w:lang w:eastAsia="ru-RU"/>
        </w:rPr>
      </w:pPr>
      <w:r w:rsidRPr="001A3824">
        <w:rPr>
          <w:rFonts w:ascii="Times New Roman" w:eastAsia="Times New Roman" w:hAnsi="Times New Roman"/>
          <w:sz w:val="28"/>
          <w:szCs w:val="28"/>
          <w:lang w:eastAsia="ru-RU"/>
        </w:rPr>
        <w:t> </w:t>
      </w:r>
    </w:p>
    <w:p w:rsidR="001A3824" w:rsidRPr="001A3824" w:rsidRDefault="001A3824">
      <w:pPr>
        <w:rPr>
          <w:rFonts w:ascii="Times New Roman" w:hAnsi="Times New Roman"/>
          <w:sz w:val="28"/>
          <w:szCs w:val="28"/>
        </w:rPr>
      </w:pPr>
    </w:p>
    <w:p w:rsidR="001A3824" w:rsidRDefault="001A3824">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p w:rsidR="001E4C92" w:rsidRDefault="001E4C92">
      <w:pPr>
        <w:rPr>
          <w:rFonts w:ascii="Times New Roman" w:hAnsi="Times New Roman"/>
          <w:sz w:val="28"/>
          <w:szCs w:val="28"/>
        </w:rPr>
      </w:pPr>
    </w:p>
    <w:sectPr w:rsidR="001E4C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06" w:rsidRDefault="00A01306" w:rsidP="001E4C92">
      <w:pPr>
        <w:spacing w:after="0" w:line="240" w:lineRule="auto"/>
      </w:pPr>
      <w:r>
        <w:separator/>
      </w:r>
    </w:p>
  </w:endnote>
  <w:endnote w:type="continuationSeparator" w:id="0">
    <w:p w:rsidR="00A01306" w:rsidRDefault="00A01306" w:rsidP="001E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06" w:rsidRDefault="00A01306" w:rsidP="001E4C92">
      <w:pPr>
        <w:spacing w:after="0" w:line="240" w:lineRule="auto"/>
      </w:pPr>
      <w:r>
        <w:separator/>
      </w:r>
    </w:p>
  </w:footnote>
  <w:footnote w:type="continuationSeparator" w:id="0">
    <w:p w:rsidR="00A01306" w:rsidRDefault="00A01306" w:rsidP="001E4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A0AF0"/>
    <w:multiLevelType w:val="hybridMultilevel"/>
    <w:tmpl w:val="94A6272E"/>
    <w:lvl w:ilvl="0" w:tplc="5AD872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08"/>
    <w:rsid w:val="0014137D"/>
    <w:rsid w:val="001A3824"/>
    <w:rsid w:val="001E4C92"/>
    <w:rsid w:val="008A4610"/>
    <w:rsid w:val="00963CD7"/>
    <w:rsid w:val="00A01306"/>
    <w:rsid w:val="00AF0208"/>
    <w:rsid w:val="00D85D86"/>
    <w:rsid w:val="00EB162E"/>
    <w:rsid w:val="00FF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6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1A382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63C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CD7"/>
    <w:rPr>
      <w:rFonts w:ascii="Tahoma" w:eastAsia="Calibri" w:hAnsi="Tahoma" w:cs="Tahoma"/>
      <w:sz w:val="16"/>
      <w:szCs w:val="16"/>
    </w:rPr>
  </w:style>
  <w:style w:type="character" w:styleId="a6">
    <w:name w:val="footnote reference"/>
    <w:uiPriority w:val="99"/>
    <w:rsid w:val="001E4C92"/>
    <w:rPr>
      <w:vertAlign w:val="superscript"/>
    </w:rPr>
  </w:style>
  <w:style w:type="paragraph" w:styleId="a7">
    <w:name w:val="footnote text"/>
    <w:basedOn w:val="a"/>
    <w:link w:val="a8"/>
    <w:uiPriority w:val="99"/>
    <w:rsid w:val="001E4C92"/>
    <w:pPr>
      <w:suppressAutoHyphens/>
      <w:spacing w:after="0" w:line="240" w:lineRule="auto"/>
    </w:pPr>
    <w:rPr>
      <w:rFonts w:ascii="Times New Roman" w:eastAsia="Times New Roman" w:hAnsi="Times New Roman"/>
      <w:sz w:val="20"/>
      <w:szCs w:val="20"/>
      <w:lang w:eastAsia="ar-SA"/>
    </w:rPr>
  </w:style>
  <w:style w:type="character" w:customStyle="1" w:styleId="a8">
    <w:name w:val="Текст сноски Знак"/>
    <w:basedOn w:val="a0"/>
    <w:link w:val="a7"/>
    <w:uiPriority w:val="99"/>
    <w:rsid w:val="001E4C9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6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1A382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63C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CD7"/>
    <w:rPr>
      <w:rFonts w:ascii="Tahoma" w:eastAsia="Calibri" w:hAnsi="Tahoma" w:cs="Tahoma"/>
      <w:sz w:val="16"/>
      <w:szCs w:val="16"/>
    </w:rPr>
  </w:style>
  <w:style w:type="character" w:styleId="a6">
    <w:name w:val="footnote reference"/>
    <w:uiPriority w:val="99"/>
    <w:rsid w:val="001E4C92"/>
    <w:rPr>
      <w:vertAlign w:val="superscript"/>
    </w:rPr>
  </w:style>
  <w:style w:type="paragraph" w:styleId="a7">
    <w:name w:val="footnote text"/>
    <w:basedOn w:val="a"/>
    <w:link w:val="a8"/>
    <w:uiPriority w:val="99"/>
    <w:rsid w:val="001E4C92"/>
    <w:pPr>
      <w:suppressAutoHyphens/>
      <w:spacing w:after="0" w:line="240" w:lineRule="auto"/>
    </w:pPr>
    <w:rPr>
      <w:rFonts w:ascii="Times New Roman" w:eastAsia="Times New Roman" w:hAnsi="Times New Roman"/>
      <w:sz w:val="20"/>
      <w:szCs w:val="20"/>
      <w:lang w:eastAsia="ar-SA"/>
    </w:rPr>
  </w:style>
  <w:style w:type="character" w:customStyle="1" w:styleId="a8">
    <w:name w:val="Текст сноски Знак"/>
    <w:basedOn w:val="a0"/>
    <w:link w:val="a7"/>
    <w:uiPriority w:val="99"/>
    <w:rsid w:val="001E4C9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2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4A2E3B14C59DB7A00B73BA0D44EF7C3BA38BAEE5D3A034312601F7285B7F82424C751AA10521FBpAc4L" TargetMode="External"/><Relationship Id="rId18" Type="http://schemas.openxmlformats.org/officeDocument/2006/relationships/hyperlink" Target="consultantplus://offline/ref=BC4A2E3B14C59DB7A00B73BA0D44EF7C3BA38BAEE5D3A034312601F7285B7F82424C751AA10523F6pAc7L" TargetMode="External"/><Relationship Id="rId26" Type="http://schemas.openxmlformats.org/officeDocument/2006/relationships/hyperlink" Target="consultantplus://offline/ref=BC4A2E3B14C59DB7A00B73BA0D44EF7C3BA38AAFE4D2A034312601F7285B7F82424C751AA10421F6pAc5L" TargetMode="External"/><Relationship Id="rId3" Type="http://schemas.microsoft.com/office/2007/relationships/stylesWithEffects" Target="stylesWithEffects.xml"/><Relationship Id="rId21" Type="http://schemas.openxmlformats.org/officeDocument/2006/relationships/hyperlink" Target="consultantplus://offline/ref=BC4A2E3B14C59DB7A00B73BA0D44EF7C3BA38AAFE4D2A034312601F7285B7F82424C751AA800p2c6L" TargetMode="External"/><Relationship Id="rId7" Type="http://schemas.openxmlformats.org/officeDocument/2006/relationships/endnotes" Target="endnotes.xml"/><Relationship Id="rId12" Type="http://schemas.openxmlformats.org/officeDocument/2006/relationships/hyperlink" Target="consultantplus://offline/ref=BC4A2E3B14C59DB7A00B73BA0D44EF7C3BA38BAEE5D3A034312601F7285B7F82424C751AA10420FEpAc5L" TargetMode="External"/><Relationship Id="rId17" Type="http://schemas.openxmlformats.org/officeDocument/2006/relationships/hyperlink" Target="consultantplus://offline/ref=BC4A2E3B14C59DB7A00B73BA0D44EF7C3BAE8DA1EFDAA034312601F7285B7F82424C751AA10520FFpAc2L" TargetMode="External"/><Relationship Id="rId25" Type="http://schemas.openxmlformats.org/officeDocument/2006/relationships/hyperlink" Target="consultantplus://offline/ref=BC4A2E3B14C59DB7A00B73BA0D44EF7C3BA38AAFE4D2A034312601F7285B7F82424C751AA10420F8pAc6L" TargetMode="External"/><Relationship Id="rId2" Type="http://schemas.openxmlformats.org/officeDocument/2006/relationships/styles" Target="styles.xml"/><Relationship Id="rId16" Type="http://schemas.openxmlformats.org/officeDocument/2006/relationships/hyperlink" Target="consultantplus://offline/ref=BC4A2E3B14C59DB7A00B73BA0D44EF7C3BAE8DA1EFDAA034312601F7285B7F82424C751AA10520FFpAc3L" TargetMode="External"/><Relationship Id="rId20" Type="http://schemas.openxmlformats.org/officeDocument/2006/relationships/hyperlink" Target="consultantplus://offline/ref=BC4A2E3B14C59DB7A00B73BA0D44EF7C3BA38AAFE4D2A034312601F7285B7F82424C751AA30Cp2c2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C4A2E3B14C59DB7A00B73BA0D44EF7C3BA38BAEE5D3A034312601F7285B7F82424C751AA10526F8pAc8L" TargetMode="External"/><Relationship Id="rId24" Type="http://schemas.openxmlformats.org/officeDocument/2006/relationships/hyperlink" Target="consultantplus://offline/ref=BC4A2E3B14C59DB7A00B73BA0D44EF7C3BA38AAFE4D2A034312601F7285B7F82424C751AA10420F8pAc6L" TargetMode="External"/><Relationship Id="rId5" Type="http://schemas.openxmlformats.org/officeDocument/2006/relationships/webSettings" Target="webSettings.xml"/><Relationship Id="rId15" Type="http://schemas.openxmlformats.org/officeDocument/2006/relationships/hyperlink" Target="consultantplus://offline/ref=BC4A2E3B14C59DB7A00B73BA0D44EF7C3BAE8DA1EFDAA034312601F7285B7F82424C751AA10520FFpAc1L" TargetMode="External"/><Relationship Id="rId23" Type="http://schemas.openxmlformats.org/officeDocument/2006/relationships/hyperlink" Target="consultantplus://offline/ref=BC4A2E3B14C59DB7A00B73BA0D44EF7C3BA38AAFE4D2A034312601F7285B7F82424C751AA801p2c5L" TargetMode="External"/><Relationship Id="rId28" Type="http://schemas.openxmlformats.org/officeDocument/2006/relationships/theme" Target="theme/theme1.xml"/><Relationship Id="rId10" Type="http://schemas.openxmlformats.org/officeDocument/2006/relationships/hyperlink" Target="consultantplus://offline/ref=BC4A2E3B14C59DB7A00B73BA0D44EF7C3BA38BAEE5D3A034312601F728p5cBL" TargetMode="External"/><Relationship Id="rId19" Type="http://schemas.openxmlformats.org/officeDocument/2006/relationships/hyperlink" Target="consultantplus://offline/ref=BC4A2E3B14C59DB7A00B73BA0D44EF7C3BA38AAFE4D2A034312601F7285B7F82424C751AA801p2c8L" TargetMode="External"/><Relationship Id="rId4" Type="http://schemas.openxmlformats.org/officeDocument/2006/relationships/settings" Target="settings.xml"/><Relationship Id="rId9" Type="http://schemas.openxmlformats.org/officeDocument/2006/relationships/hyperlink" Target="consultantplus://offline/ref=BC4A2E3B14C59DB7A00B73BA0D44EF7C3BA38AAFE4D2A034312601F7285B7F82424C751AA800p2c4L" TargetMode="External"/><Relationship Id="rId14" Type="http://schemas.openxmlformats.org/officeDocument/2006/relationships/hyperlink" Target="consultantplus://offline/ref=BC4A2E3B14C59DB7A00B73BA0D44EF7C3BA38BAEE5D3A034312601F7285B7F82424C751AA10423FApAc3L" TargetMode="External"/><Relationship Id="rId22" Type="http://schemas.openxmlformats.org/officeDocument/2006/relationships/hyperlink" Target="consultantplus://offline/ref=BC4A2E3B14C59DB7A00B73BA0D44EF7C3BA38AAFE4D2A034312601F7285B7F82424C751AA801p2c5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Гладиатор</cp:lastModifiedBy>
  <cp:revision>7</cp:revision>
  <dcterms:created xsi:type="dcterms:W3CDTF">2019-02-15T05:52:00Z</dcterms:created>
  <dcterms:modified xsi:type="dcterms:W3CDTF">2019-05-21T17:31:00Z</dcterms:modified>
</cp:coreProperties>
</file>